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42" w:rsidRPr="005F1A42" w:rsidRDefault="00ED1299" w:rsidP="005F1A42">
      <w:pPr>
        <w:spacing w:after="200" w:line="276" w:lineRule="auto"/>
        <w:jc w:val="right"/>
        <w:rPr>
          <w:rFonts w:ascii="Book Antiqua" w:eastAsia="+mn-ea" w:hAnsi="Book Antiqua"/>
        </w:rPr>
      </w:pPr>
      <w:r>
        <w:rPr>
          <w:rFonts w:ascii="Book Antiqua" w:eastAsia="+mn-ea" w:hAnsi="Book Antiqua"/>
        </w:rPr>
        <w:t>9/2</w:t>
      </w:r>
      <w:r w:rsidR="00CC14AE">
        <w:rPr>
          <w:rFonts w:ascii="Book Antiqua" w:eastAsia="+mn-ea" w:hAnsi="Book Antiqua"/>
        </w:rPr>
        <w:t>4</w:t>
      </w:r>
      <w:r>
        <w:rPr>
          <w:rFonts w:ascii="Book Antiqua" w:eastAsia="+mn-ea" w:hAnsi="Book Antiqua"/>
        </w:rPr>
        <w:t>/10</w:t>
      </w:r>
    </w:p>
    <w:p w:rsidR="005F1A42" w:rsidRDefault="005F1A42" w:rsidP="005F1A42">
      <w:pPr>
        <w:spacing w:after="200" w:line="276" w:lineRule="auto"/>
        <w:jc w:val="center"/>
        <w:rPr>
          <w:rFonts w:ascii="Book Antiqua" w:eastAsia="+mn-ea" w:hAnsi="Book Antiqua"/>
          <w:b/>
        </w:rPr>
      </w:pPr>
    </w:p>
    <w:p w:rsidR="007D1400" w:rsidRPr="005F1A42" w:rsidRDefault="007D1400" w:rsidP="005F1A42">
      <w:pPr>
        <w:spacing w:after="200" w:line="276" w:lineRule="auto"/>
        <w:jc w:val="center"/>
        <w:rPr>
          <w:rFonts w:ascii="Book Antiqua" w:eastAsia="+mn-ea" w:hAnsi="Book Antiqua"/>
          <w:b/>
        </w:rPr>
      </w:pPr>
      <w:r w:rsidRPr="005F1A42">
        <w:rPr>
          <w:rFonts w:ascii="Book Antiqua" w:eastAsia="+mn-ea" w:hAnsi="Book Antiqua"/>
          <w:b/>
        </w:rPr>
        <w:t>Presidential Task Force on Equitable Access to Electronic Content</w:t>
      </w:r>
    </w:p>
    <w:p w:rsidR="007D1400" w:rsidRDefault="007D1400" w:rsidP="005F1A42">
      <w:pPr>
        <w:spacing w:after="200" w:line="276" w:lineRule="auto"/>
        <w:jc w:val="center"/>
        <w:rPr>
          <w:rFonts w:ascii="Book Antiqua" w:eastAsia="+mn-ea" w:hAnsi="Book Antiqua"/>
          <w:b/>
        </w:rPr>
      </w:pPr>
      <w:r w:rsidRPr="005F1A42">
        <w:rPr>
          <w:rFonts w:ascii="Book Antiqua" w:eastAsia="+mn-ea" w:hAnsi="Book Antiqua"/>
          <w:b/>
        </w:rPr>
        <w:t>Background and charge</w:t>
      </w:r>
    </w:p>
    <w:p w:rsidR="00ED1299" w:rsidRPr="005F1A42" w:rsidRDefault="00ED1299" w:rsidP="005F1A42">
      <w:pPr>
        <w:spacing w:after="200" w:line="276" w:lineRule="auto"/>
        <w:jc w:val="center"/>
        <w:rPr>
          <w:rFonts w:ascii="Book Antiqua" w:eastAsia="+mn-ea" w:hAnsi="Book Antiqua"/>
          <w:b/>
        </w:rPr>
      </w:pPr>
    </w:p>
    <w:p w:rsidR="007D1400" w:rsidRPr="00671E9D" w:rsidRDefault="007D1400" w:rsidP="007D1400">
      <w:pPr>
        <w:spacing w:after="200" w:line="276" w:lineRule="auto"/>
        <w:rPr>
          <w:rFonts w:ascii="Book Antiqua" w:eastAsia="+mn-ea" w:hAnsi="Book Antiqua"/>
        </w:rPr>
      </w:pPr>
      <w:r>
        <w:rPr>
          <w:rFonts w:ascii="Book Antiqua" w:eastAsia="+mn-ea" w:hAnsi="Book Antiqua"/>
        </w:rPr>
        <w:t>On June 28</w:t>
      </w:r>
      <w:r w:rsidRPr="007D1400">
        <w:rPr>
          <w:rFonts w:ascii="Book Antiqua" w:eastAsia="+mn-ea" w:hAnsi="Book Antiqua"/>
          <w:vertAlign w:val="superscript"/>
        </w:rPr>
        <w:t>th</w:t>
      </w:r>
      <w:r>
        <w:rPr>
          <w:rFonts w:ascii="Book Antiqua" w:eastAsia="+mn-ea" w:hAnsi="Book Antiqua"/>
        </w:rPr>
        <w:t>, the ALA Council passed a resolution that called</w:t>
      </w:r>
      <w:r w:rsidRPr="00936113">
        <w:rPr>
          <w:rFonts w:ascii="Book Antiqua" w:eastAsia="+mn-ea" w:hAnsi="Book Antiqua"/>
        </w:rPr>
        <w:t xml:space="preserve"> for the formation of a Presidential Task Force, </w:t>
      </w:r>
      <w:r w:rsidRPr="00671E9D">
        <w:rPr>
          <w:rFonts w:ascii="Book Antiqua" w:eastAsia="+mn-ea" w:hAnsi="Book Antiqua"/>
        </w:rPr>
        <w:t>integrating the OITP Working Group, charged</w:t>
      </w:r>
      <w:r w:rsidRPr="00936113">
        <w:rPr>
          <w:rFonts w:ascii="Book Antiqua" w:eastAsia="+mn-ea" w:hAnsi="Book Antiqua"/>
        </w:rPr>
        <w:t xml:space="preserve"> with studying:</w:t>
      </w:r>
    </w:p>
    <w:p w:rsidR="007D1400" w:rsidRPr="007D1400" w:rsidRDefault="007D1400" w:rsidP="007D1400">
      <w:pPr>
        <w:pStyle w:val="ListParagraph"/>
        <w:numPr>
          <w:ilvl w:val="0"/>
          <w:numId w:val="3"/>
        </w:numPr>
        <w:spacing w:after="200" w:line="276" w:lineRule="auto"/>
        <w:rPr>
          <w:rFonts w:ascii="Book Antiqua" w:hAnsi="Book Antiqua" w:cs="Arial"/>
        </w:rPr>
      </w:pPr>
      <w:r w:rsidRPr="007D1400">
        <w:rPr>
          <w:rFonts w:ascii="Book Antiqua" w:hAnsi="Book Antiqua" w:cs="Arial"/>
        </w:rPr>
        <w:t>challenges and potential solutions in libraries for improved electronic content</w:t>
      </w:r>
      <w:r w:rsidRPr="007D1400">
        <w:rPr>
          <w:rFonts w:ascii="Book Antiqua" w:hAnsi="Book Antiqua" w:cs="Arial"/>
        </w:rPr>
        <w:br/>
        <w:t xml:space="preserve"> access, distribution and preservation systems, and infrastructure in response to the creation and migration of materials from print to electronic access;</w:t>
      </w:r>
    </w:p>
    <w:p w:rsidR="007D1400" w:rsidRPr="007D1400" w:rsidRDefault="007D1400" w:rsidP="007D1400">
      <w:pPr>
        <w:pStyle w:val="ListParagraph"/>
        <w:numPr>
          <w:ilvl w:val="0"/>
          <w:numId w:val="3"/>
        </w:numPr>
        <w:spacing w:after="200" w:line="276" w:lineRule="auto"/>
        <w:rPr>
          <w:rFonts w:ascii="Book Antiqua" w:hAnsi="Book Antiqua" w:cs="Arial"/>
        </w:rPr>
      </w:pPr>
      <w:r w:rsidRPr="007D1400">
        <w:rPr>
          <w:rFonts w:ascii="Book Antiqua" w:hAnsi="Book Antiqua" w:cs="Arial"/>
        </w:rPr>
        <w:t>collaborations that provide electronic content and distribution infrastructure</w:t>
      </w:r>
      <w:r w:rsidRPr="007D1400">
        <w:rPr>
          <w:rFonts w:ascii="Book Antiqua" w:hAnsi="Book Antiqua" w:cs="Arial"/>
        </w:rPr>
        <w:br/>
        <w:t xml:space="preserve"> for libraries, including the development of a list of potentially practical,</w:t>
      </w:r>
      <w:r w:rsidRPr="007D1400">
        <w:rPr>
          <w:rFonts w:ascii="Book Antiqua" w:hAnsi="Book Antiqua" w:cs="Arial"/>
        </w:rPr>
        <w:br/>
        <w:t xml:space="preserve"> effective collaborations and courses of action that ALA and libraries around</w:t>
      </w:r>
      <w:r w:rsidRPr="007D1400">
        <w:rPr>
          <w:rFonts w:ascii="Book Antiqua" w:hAnsi="Book Antiqua" w:cs="Arial"/>
        </w:rPr>
        <w:br/>
        <w:t xml:space="preserve"> the country could engage in;</w:t>
      </w:r>
    </w:p>
    <w:p w:rsidR="007D1400" w:rsidRPr="007D1400" w:rsidRDefault="007D1400" w:rsidP="007D1400">
      <w:pPr>
        <w:pStyle w:val="ListParagraph"/>
        <w:numPr>
          <w:ilvl w:val="0"/>
          <w:numId w:val="3"/>
        </w:numPr>
        <w:spacing w:after="200" w:line="276" w:lineRule="auto"/>
        <w:rPr>
          <w:rFonts w:ascii="Book Antiqua" w:hAnsi="Book Antiqua" w:cs="Arial"/>
        </w:rPr>
      </w:pPr>
      <w:r w:rsidRPr="007D1400">
        <w:rPr>
          <w:rFonts w:ascii="Book Antiqua" w:hAnsi="Book Antiqua" w:cs="Arial"/>
        </w:rPr>
        <w:t>current and emerging assistive technology that provides people with sensory and physical disabilities the opportunity to access electronic information hitherto inaccessible through libraries;</w:t>
      </w:r>
    </w:p>
    <w:p w:rsidR="007D1400" w:rsidRPr="007D1400" w:rsidRDefault="007D1400" w:rsidP="007D1400">
      <w:pPr>
        <w:pStyle w:val="ListParagraph"/>
        <w:numPr>
          <w:ilvl w:val="0"/>
          <w:numId w:val="3"/>
        </w:numPr>
        <w:spacing w:after="200" w:line="276" w:lineRule="auto"/>
        <w:rPr>
          <w:rFonts w:ascii="Book Antiqua" w:hAnsi="Book Antiqua" w:cs="Arial"/>
        </w:rPr>
      </w:pPr>
      <w:r w:rsidRPr="007D1400">
        <w:rPr>
          <w:rFonts w:ascii="Book Antiqua" w:hAnsi="Book Antiqua" w:cs="Arial"/>
        </w:rPr>
        <w:t>methods of encouraging solutions through libraries for electronic content access that use formats and standards that work across DRM-free device platforms;</w:t>
      </w:r>
    </w:p>
    <w:p w:rsidR="007D1400" w:rsidRPr="007D1400" w:rsidRDefault="007D1400" w:rsidP="007D1400">
      <w:pPr>
        <w:pStyle w:val="ListParagraph"/>
        <w:numPr>
          <w:ilvl w:val="0"/>
          <w:numId w:val="3"/>
        </w:numPr>
        <w:spacing w:after="200" w:line="276" w:lineRule="auto"/>
        <w:rPr>
          <w:rFonts w:ascii="Book Antiqua" w:hAnsi="Book Antiqua" w:cs="Arial"/>
        </w:rPr>
      </w:pPr>
      <w:r w:rsidRPr="007D1400">
        <w:rPr>
          <w:rFonts w:ascii="Book Antiqua" w:hAnsi="Book Antiqua" w:cs="Arial"/>
        </w:rPr>
        <w:t>options for compromise agreements between the library and publishing communities regarding access to digital content; and</w:t>
      </w:r>
    </w:p>
    <w:p w:rsidR="007D1400" w:rsidRPr="007D1400" w:rsidRDefault="007D1400" w:rsidP="007D1400">
      <w:pPr>
        <w:pStyle w:val="ListParagraph"/>
        <w:numPr>
          <w:ilvl w:val="0"/>
          <w:numId w:val="3"/>
        </w:numPr>
        <w:spacing w:after="200" w:line="276" w:lineRule="auto"/>
        <w:rPr>
          <w:rFonts w:ascii="Book Antiqua" w:hAnsi="Book Antiqua" w:cs="Arial"/>
        </w:rPr>
      </w:pPr>
      <w:r w:rsidRPr="007D1400">
        <w:rPr>
          <w:rFonts w:ascii="Book Antiqua" w:hAnsi="Book Antiqua" w:cs="Arial"/>
        </w:rPr>
        <w:t>the need for any ALA policies required to further the creation of an effective electronic content and distribution infrastructure for libraries; and</w:t>
      </w:r>
    </w:p>
    <w:p w:rsidR="007D1400" w:rsidRDefault="007D1400" w:rsidP="007D1400">
      <w:pPr>
        <w:spacing w:after="200" w:line="276" w:lineRule="auto"/>
        <w:rPr>
          <w:rFonts w:ascii="Book Antiqua" w:eastAsia="+mn-ea" w:hAnsi="Book Antiqua"/>
        </w:rPr>
      </w:pPr>
      <w:r>
        <w:rPr>
          <w:rFonts w:ascii="Book Antiqua" w:eastAsia="+mn-ea" w:hAnsi="Book Antiqua"/>
        </w:rPr>
        <w:t xml:space="preserve">The resolution called for the </w:t>
      </w:r>
      <w:r w:rsidRPr="00936113">
        <w:rPr>
          <w:rFonts w:ascii="Book Antiqua" w:eastAsia="+mn-ea" w:hAnsi="Book Antiqua"/>
        </w:rPr>
        <w:t xml:space="preserve">Task Force </w:t>
      </w:r>
      <w:r>
        <w:rPr>
          <w:rFonts w:ascii="Book Antiqua" w:eastAsia="+mn-ea" w:hAnsi="Book Antiqua"/>
        </w:rPr>
        <w:t xml:space="preserve">to </w:t>
      </w:r>
      <w:r w:rsidRPr="00936113">
        <w:rPr>
          <w:rFonts w:ascii="Book Antiqua" w:eastAsia="+mn-ea" w:hAnsi="Book Antiqua"/>
        </w:rPr>
        <w:t>submit a report to Council at ALA Annual Conference in 2011 containing recommendations for the Association.</w:t>
      </w:r>
    </w:p>
    <w:p w:rsidR="00CC14AE" w:rsidRDefault="00CC14AE" w:rsidP="00CC14AE">
      <w:r>
        <w:rPr>
          <w:rFonts w:ascii="Book Antiqua" w:eastAsia="+mn-ea" w:hAnsi="Book Antiqua"/>
        </w:rPr>
        <w:t xml:space="preserve">For the full text of the Council resolution </w:t>
      </w:r>
      <w:r w:rsidR="00721438">
        <w:rPr>
          <w:rFonts w:ascii="Book Antiqua" w:eastAsia="+mn-ea" w:hAnsi="Book Antiqua"/>
        </w:rPr>
        <w:t>(</w:t>
      </w:r>
      <w:r>
        <w:rPr>
          <w:rFonts w:ascii="Book Antiqua" w:eastAsia="+mn-ea" w:hAnsi="Book Antiqua"/>
        </w:rPr>
        <w:t>includ</w:t>
      </w:r>
      <w:r w:rsidR="00721438">
        <w:rPr>
          <w:rFonts w:ascii="Book Antiqua" w:eastAsia="+mn-ea" w:hAnsi="Book Antiqua"/>
        </w:rPr>
        <w:t>ing</w:t>
      </w:r>
      <w:r>
        <w:rPr>
          <w:rFonts w:ascii="Book Antiqua" w:eastAsia="+mn-ea" w:hAnsi="Book Antiqua"/>
        </w:rPr>
        <w:t xml:space="preserve"> whereas clauses</w:t>
      </w:r>
      <w:r w:rsidR="00721438">
        <w:rPr>
          <w:rFonts w:ascii="Book Antiqua" w:eastAsia="+mn-ea" w:hAnsi="Book Antiqua"/>
        </w:rPr>
        <w:t>)</w:t>
      </w:r>
      <w:r>
        <w:rPr>
          <w:rFonts w:ascii="Book Antiqua" w:eastAsia="+mn-ea" w:hAnsi="Book Antiqua"/>
        </w:rPr>
        <w:t xml:space="preserve">, see </w:t>
      </w:r>
      <w:hyperlink r:id="rId5" w:history="1">
        <w:r>
          <w:rPr>
            <w:rStyle w:val="Hyperlink"/>
          </w:rPr>
          <w:t>http://www.ala.org/ala/aboutala/governance/council/council_documents/2010annual_council_docus/cd_44rev_equitable_a.pdf</w:t>
        </w:r>
      </w:hyperlink>
    </w:p>
    <w:p w:rsidR="00CC14AE" w:rsidRDefault="00CC14AE" w:rsidP="007D1400">
      <w:pPr>
        <w:spacing w:after="200" w:line="276" w:lineRule="auto"/>
        <w:rPr>
          <w:rFonts w:ascii="Book Antiqua" w:eastAsia="+mn-ea" w:hAnsi="Book Antiqua"/>
        </w:rPr>
      </w:pPr>
    </w:p>
    <w:p w:rsidR="007D1400" w:rsidRPr="005F1A42" w:rsidRDefault="005F1A42" w:rsidP="007D1400">
      <w:pPr>
        <w:rPr>
          <w:rFonts w:ascii="Book Antiqua" w:hAnsi="Book Antiqua"/>
          <w:b/>
        </w:rPr>
      </w:pPr>
      <w:r>
        <w:rPr>
          <w:rFonts w:ascii="Book Antiqua" w:hAnsi="Book Antiqua"/>
          <w:b/>
        </w:rPr>
        <w:t xml:space="preserve">The role of </w:t>
      </w:r>
      <w:r w:rsidR="007D1400" w:rsidRPr="005F1A42">
        <w:rPr>
          <w:rFonts w:ascii="Book Antiqua" w:hAnsi="Book Antiqua"/>
          <w:b/>
        </w:rPr>
        <w:t>OITP</w:t>
      </w:r>
    </w:p>
    <w:p w:rsidR="007D1400" w:rsidRPr="007D1400" w:rsidRDefault="007D1400" w:rsidP="007D1400">
      <w:pPr>
        <w:rPr>
          <w:rFonts w:ascii="Book Antiqua" w:hAnsi="Book Antiqua"/>
        </w:rPr>
      </w:pPr>
    </w:p>
    <w:p w:rsidR="007D1400" w:rsidRPr="007D1400" w:rsidRDefault="007D1400" w:rsidP="007D1400">
      <w:pPr>
        <w:rPr>
          <w:rFonts w:ascii="Book Antiqua" w:hAnsi="Book Antiqua"/>
        </w:rPr>
      </w:pPr>
      <w:r w:rsidRPr="007D1400">
        <w:rPr>
          <w:rFonts w:ascii="Book Antiqua" w:hAnsi="Book Antiqua"/>
        </w:rPr>
        <w:t xml:space="preserve">The Office for Information Technology Policy advances ALA’s public policy activities by helping secure information technology policies that support and encourage efforts of </w:t>
      </w:r>
      <w:r w:rsidRPr="007D1400">
        <w:rPr>
          <w:rFonts w:ascii="Book Antiqua" w:hAnsi="Book Antiqua"/>
        </w:rPr>
        <w:lastRenderedPageBreak/>
        <w:t xml:space="preserve">libraries to ensure access to electronic information resources as a means of upholding the public’s right to a free and open information society. It works to ensure a library voice in information policy debates and to promote full and equitable intellectual participation by the public. </w:t>
      </w:r>
    </w:p>
    <w:p w:rsidR="005F1A42" w:rsidRDefault="005F1A42" w:rsidP="007D1400">
      <w:pPr>
        <w:spacing w:after="240"/>
        <w:rPr>
          <w:rFonts w:ascii="Book Antiqua" w:hAnsi="Book Antiqua"/>
        </w:rPr>
      </w:pPr>
    </w:p>
    <w:p w:rsidR="007D1400" w:rsidRPr="007D1400" w:rsidRDefault="007D1400" w:rsidP="007D1400">
      <w:pPr>
        <w:spacing w:after="240"/>
        <w:rPr>
          <w:rFonts w:ascii="Book Antiqua" w:hAnsi="Book Antiqua"/>
        </w:rPr>
      </w:pPr>
      <w:r w:rsidRPr="007D1400">
        <w:rPr>
          <w:rFonts w:ascii="Book Antiqua" w:hAnsi="Book Antiqua"/>
        </w:rPr>
        <w:t xml:space="preserve">Working together with ALA’s </w:t>
      </w:r>
      <w:hyperlink r:id="rId6" w:tgtFrame="_self" w:history="1">
        <w:r w:rsidRPr="007D1400">
          <w:rPr>
            <w:rFonts w:ascii="Book Antiqua" w:hAnsi="Book Antiqua"/>
            <w:color w:val="0000FF"/>
            <w:u w:val="single"/>
          </w:rPr>
          <w:t>Office of Government Relations</w:t>
        </w:r>
      </w:hyperlink>
      <w:r w:rsidRPr="007D1400">
        <w:rPr>
          <w:rFonts w:ascii="Book Antiqua" w:hAnsi="Book Antiqua"/>
        </w:rPr>
        <w:t xml:space="preserve"> and the </w:t>
      </w:r>
      <w:hyperlink r:id="rId7" w:tgtFrame="_self" w:history="1">
        <w:r w:rsidRPr="007D1400">
          <w:rPr>
            <w:rFonts w:ascii="Book Antiqua" w:hAnsi="Book Antiqua"/>
            <w:color w:val="0000FF"/>
            <w:u w:val="single"/>
          </w:rPr>
          <w:t>Office for Intellectual Freedom</w:t>
        </w:r>
      </w:hyperlink>
      <w:r w:rsidRPr="007D1400">
        <w:rPr>
          <w:rFonts w:ascii="Book Antiqua" w:hAnsi="Book Antiqua"/>
        </w:rPr>
        <w:t xml:space="preserve">, OITP works to ensure a library voice in information policy debates and to promote full and equitable intellectual participation by the public by: </w:t>
      </w:r>
    </w:p>
    <w:p w:rsidR="007D1400" w:rsidRPr="007D1400" w:rsidRDefault="007D1400" w:rsidP="007D1400">
      <w:pPr>
        <w:numPr>
          <w:ilvl w:val="0"/>
          <w:numId w:val="4"/>
        </w:numPr>
        <w:spacing w:before="100" w:beforeAutospacing="1" w:after="100" w:afterAutospacing="1"/>
        <w:rPr>
          <w:rFonts w:ascii="Book Antiqua" w:hAnsi="Book Antiqua"/>
        </w:rPr>
      </w:pPr>
      <w:r w:rsidRPr="007D1400">
        <w:rPr>
          <w:rFonts w:ascii="Book Antiqua" w:hAnsi="Book Antiqua"/>
        </w:rPr>
        <w:t xml:space="preserve">Conducting </w:t>
      </w:r>
      <w:r w:rsidRPr="007D1400">
        <w:rPr>
          <w:rFonts w:ascii="Book Antiqua" w:hAnsi="Book Antiqua"/>
          <w:i/>
          <w:iCs/>
        </w:rPr>
        <w:t>research and analysis</w:t>
      </w:r>
      <w:r w:rsidRPr="007D1400">
        <w:rPr>
          <w:rFonts w:ascii="Book Antiqua" w:hAnsi="Book Antiqua"/>
        </w:rPr>
        <w:t xml:space="preserve"> aimed at understanding the implications of information technology and information policy for libraries and library users, </w:t>
      </w:r>
    </w:p>
    <w:p w:rsidR="007D1400" w:rsidRPr="007D1400" w:rsidRDefault="007D1400" w:rsidP="007D1400">
      <w:pPr>
        <w:numPr>
          <w:ilvl w:val="0"/>
          <w:numId w:val="4"/>
        </w:numPr>
        <w:spacing w:before="100" w:beforeAutospacing="1" w:after="100" w:afterAutospacing="1"/>
        <w:rPr>
          <w:rFonts w:ascii="Book Antiqua" w:hAnsi="Book Antiqua"/>
        </w:rPr>
      </w:pPr>
      <w:r w:rsidRPr="007D1400">
        <w:rPr>
          <w:rFonts w:ascii="Book Antiqua" w:hAnsi="Book Antiqua"/>
          <w:i/>
          <w:iCs/>
        </w:rPr>
        <w:t>Educating</w:t>
      </w:r>
      <w:r w:rsidRPr="007D1400">
        <w:rPr>
          <w:rFonts w:ascii="Book Antiqua" w:hAnsi="Book Antiqua"/>
        </w:rPr>
        <w:t xml:space="preserve"> the ALA community about the implications of information policy, law, and regulation for libraries and library users, </w:t>
      </w:r>
    </w:p>
    <w:p w:rsidR="007D1400" w:rsidRDefault="007D1400" w:rsidP="007D1400">
      <w:pPr>
        <w:numPr>
          <w:ilvl w:val="0"/>
          <w:numId w:val="4"/>
        </w:numPr>
        <w:spacing w:before="100" w:beforeAutospacing="1" w:after="100" w:afterAutospacing="1"/>
        <w:rPr>
          <w:rFonts w:ascii="Book Antiqua" w:hAnsi="Book Antiqua"/>
        </w:rPr>
      </w:pPr>
      <w:r w:rsidRPr="007D1400">
        <w:rPr>
          <w:rFonts w:ascii="Book Antiqua" w:hAnsi="Book Antiqua"/>
        </w:rPr>
        <w:t xml:space="preserve">Advancing ALA’s </w:t>
      </w:r>
      <w:r w:rsidRPr="007D1400">
        <w:rPr>
          <w:rFonts w:ascii="Book Antiqua" w:hAnsi="Book Antiqua"/>
          <w:i/>
          <w:iCs/>
        </w:rPr>
        <w:t>information policy interests</w:t>
      </w:r>
      <w:r w:rsidRPr="007D1400">
        <w:rPr>
          <w:rFonts w:ascii="Book Antiqua" w:hAnsi="Book Antiqua"/>
        </w:rPr>
        <w:t xml:space="preserve"> in non-legislative government policy forums, and </w:t>
      </w:r>
    </w:p>
    <w:p w:rsidR="007D1400" w:rsidRDefault="007D1400" w:rsidP="007D1400">
      <w:pPr>
        <w:numPr>
          <w:ilvl w:val="0"/>
          <w:numId w:val="4"/>
        </w:numPr>
        <w:spacing w:before="100" w:beforeAutospacing="1" w:after="100" w:afterAutospacing="1"/>
        <w:rPr>
          <w:rFonts w:ascii="Book Antiqua" w:hAnsi="Book Antiqua"/>
        </w:rPr>
      </w:pPr>
      <w:r w:rsidRPr="007D1400">
        <w:rPr>
          <w:rFonts w:ascii="Book Antiqua" w:hAnsi="Book Antiqua"/>
        </w:rPr>
        <w:t xml:space="preserve">Engaging in </w:t>
      </w:r>
      <w:r w:rsidRPr="007D1400">
        <w:rPr>
          <w:rFonts w:ascii="Book Antiqua" w:hAnsi="Book Antiqua"/>
          <w:i/>
          <w:iCs/>
        </w:rPr>
        <w:t>strategic outlook</w:t>
      </w:r>
      <w:r w:rsidRPr="007D1400">
        <w:rPr>
          <w:rFonts w:ascii="Book Antiqua" w:hAnsi="Book Antiqua"/>
        </w:rPr>
        <w:t xml:space="preserve"> to anticipate technological change, particularly as it presents policy challenges to libraries and library users. </w:t>
      </w:r>
    </w:p>
    <w:p w:rsidR="007D1400" w:rsidRDefault="007D1400" w:rsidP="007D1400">
      <w:pPr>
        <w:spacing w:before="100" w:beforeAutospacing="1" w:after="100" w:afterAutospacing="1"/>
        <w:rPr>
          <w:rFonts w:ascii="Book Antiqua" w:hAnsi="Book Antiqua"/>
        </w:rPr>
      </w:pPr>
      <w:r>
        <w:rPr>
          <w:rFonts w:ascii="Book Antiqua" w:hAnsi="Book Antiqua"/>
        </w:rPr>
        <w:t>Recognizing the role of OITP, it was understood that the Committee and Office would serve as the lead in and “home” for this effort.</w:t>
      </w:r>
    </w:p>
    <w:p w:rsidR="004D675E" w:rsidRDefault="007D1400" w:rsidP="007D1400">
      <w:pPr>
        <w:spacing w:before="100" w:beforeAutospacing="1" w:after="100" w:afterAutospacing="1"/>
        <w:rPr>
          <w:rFonts w:ascii="Book Antiqua" w:hAnsi="Book Antiqua"/>
        </w:rPr>
      </w:pPr>
      <w:r w:rsidRPr="007D1400">
        <w:rPr>
          <w:rFonts w:ascii="Book Antiqua" w:hAnsi="Book Antiqua"/>
        </w:rPr>
        <w:t xml:space="preserve">Currently, an OITP subcommittee is working on </w:t>
      </w:r>
      <w:r w:rsidR="004D675E">
        <w:rPr>
          <w:rFonts w:ascii="Book Antiqua" w:hAnsi="Book Antiqua"/>
        </w:rPr>
        <w:t xml:space="preserve">issues closely related to the Council resolution. The </w:t>
      </w:r>
      <w:r w:rsidRPr="007D1400">
        <w:rPr>
          <w:rFonts w:ascii="Book Antiqua" w:hAnsi="Book Antiqua"/>
        </w:rPr>
        <w:t xml:space="preserve">mission </w:t>
      </w:r>
      <w:r w:rsidR="004D675E">
        <w:rPr>
          <w:rFonts w:ascii="Book Antiqua" w:hAnsi="Book Antiqua"/>
        </w:rPr>
        <w:t xml:space="preserve">of this </w:t>
      </w:r>
      <w:r w:rsidR="005F1A42">
        <w:rPr>
          <w:rFonts w:ascii="Book Antiqua" w:hAnsi="Book Antiqua"/>
        </w:rPr>
        <w:t>subcommittee</w:t>
      </w:r>
      <w:r w:rsidR="004D675E">
        <w:rPr>
          <w:rFonts w:ascii="Book Antiqua" w:hAnsi="Book Antiqua"/>
        </w:rPr>
        <w:t xml:space="preserve"> is to</w:t>
      </w:r>
      <w:r w:rsidRPr="007D1400">
        <w:rPr>
          <w:rFonts w:ascii="Book Antiqua" w:hAnsi="Book Antiqua"/>
        </w:rPr>
        <w:t xml:space="preserve">:  </w:t>
      </w:r>
    </w:p>
    <w:p w:rsidR="004D675E" w:rsidRPr="004D675E" w:rsidRDefault="007D1400" w:rsidP="004D675E">
      <w:pPr>
        <w:pStyle w:val="ListParagraph"/>
        <w:numPr>
          <w:ilvl w:val="0"/>
          <w:numId w:val="5"/>
        </w:numPr>
        <w:spacing w:before="100" w:beforeAutospacing="1" w:after="100" w:afterAutospacing="1"/>
        <w:rPr>
          <w:rFonts w:ascii="Book Antiqua" w:hAnsi="Book Antiqua"/>
        </w:rPr>
      </w:pPr>
      <w:r w:rsidRPr="004D675E">
        <w:rPr>
          <w:rFonts w:ascii="Book Antiqua" w:hAnsi="Book Antiqua"/>
        </w:rPr>
        <w:t xml:space="preserve">explore and articulate the issues surrounding e-books (and allied devices), licensing agreements, and access to information in the library context, and </w:t>
      </w:r>
    </w:p>
    <w:p w:rsidR="004D675E" w:rsidRPr="004D675E" w:rsidRDefault="007D1400" w:rsidP="004D675E">
      <w:pPr>
        <w:pStyle w:val="ListParagraph"/>
        <w:numPr>
          <w:ilvl w:val="0"/>
          <w:numId w:val="5"/>
        </w:numPr>
        <w:spacing w:before="100" w:beforeAutospacing="1" w:after="100" w:afterAutospacing="1"/>
        <w:rPr>
          <w:rFonts w:ascii="Book Antiqua" w:hAnsi="Book Antiqua"/>
        </w:rPr>
      </w:pPr>
      <w:r w:rsidRPr="004D675E">
        <w:rPr>
          <w:rFonts w:ascii="Book Antiqua" w:hAnsi="Book Antiqua"/>
        </w:rPr>
        <w:t xml:space="preserve">engage vendors in a productive dialogue to improve matters for the library community.  </w:t>
      </w:r>
    </w:p>
    <w:p w:rsidR="007D1400" w:rsidRDefault="004D675E" w:rsidP="007D1400">
      <w:pPr>
        <w:spacing w:before="100" w:beforeAutospacing="1" w:after="100" w:afterAutospacing="1"/>
        <w:rPr>
          <w:rFonts w:ascii="Book Antiqua" w:hAnsi="Book Antiqua"/>
        </w:rPr>
      </w:pPr>
      <w:r>
        <w:rPr>
          <w:rFonts w:ascii="Book Antiqua" w:hAnsi="Book Antiqua"/>
        </w:rPr>
        <w:t xml:space="preserve">This group is conducting </w:t>
      </w:r>
      <w:r w:rsidR="007D1400" w:rsidRPr="007D1400">
        <w:rPr>
          <w:rFonts w:ascii="Book Antiqua" w:hAnsi="Book Antiqua"/>
        </w:rPr>
        <w:t>an initial background exploration</w:t>
      </w:r>
      <w:r>
        <w:rPr>
          <w:rFonts w:ascii="Book Antiqua" w:hAnsi="Book Antiqua"/>
        </w:rPr>
        <w:t xml:space="preserve">, which was to be followed by </w:t>
      </w:r>
      <w:r w:rsidR="007D1400" w:rsidRPr="007D1400">
        <w:rPr>
          <w:rFonts w:ascii="Book Antiqua" w:hAnsi="Book Antiqua"/>
        </w:rPr>
        <w:t xml:space="preserve">a broader </w:t>
      </w:r>
      <w:r>
        <w:rPr>
          <w:rFonts w:ascii="Book Antiqua" w:hAnsi="Book Antiqua"/>
        </w:rPr>
        <w:t xml:space="preserve">discussion involving </w:t>
      </w:r>
      <w:r w:rsidR="007D1400" w:rsidRPr="007D1400">
        <w:rPr>
          <w:rFonts w:ascii="Book Antiqua" w:hAnsi="Book Antiqua"/>
        </w:rPr>
        <w:t>representation from the relevant ALA divisions, offices, roundtables, and other entities. </w:t>
      </w:r>
    </w:p>
    <w:p w:rsidR="004D675E" w:rsidRPr="005F1A42" w:rsidRDefault="004D675E" w:rsidP="007D1400">
      <w:pPr>
        <w:spacing w:before="100" w:beforeAutospacing="1" w:after="100" w:afterAutospacing="1"/>
        <w:rPr>
          <w:rFonts w:ascii="Book Antiqua" w:hAnsi="Book Antiqua"/>
          <w:b/>
        </w:rPr>
      </w:pPr>
      <w:r w:rsidRPr="005F1A42">
        <w:rPr>
          <w:rFonts w:ascii="Book Antiqua" w:hAnsi="Book Antiqua"/>
          <w:b/>
        </w:rPr>
        <w:t>Initial Tasks</w:t>
      </w:r>
    </w:p>
    <w:p w:rsidR="005F1A42" w:rsidRPr="005F1A42" w:rsidRDefault="005F1A42" w:rsidP="005F1A42">
      <w:pPr>
        <w:rPr>
          <w:rFonts w:ascii="Book Antiqua" w:hAnsi="Book Antiqua"/>
          <w:bCs/>
        </w:rPr>
      </w:pPr>
      <w:r w:rsidRPr="005F1A42">
        <w:rPr>
          <w:rFonts w:ascii="Book Antiqua" w:hAnsi="Book Antiqua"/>
          <w:bCs/>
        </w:rPr>
        <w:t>The digital revolution enables great opportunity for improved access to information through libraries but at the same time creates challenges for equitable access to electronic content.  A major focus of these challenges is the infrastructure of how electronic content is acquired, accessed, distributed, and preserved.  Particular issues of interest include the formats and standards for information and technology and assistive technology.  Addressing these challenges effectively may take a variety of forms including collaboration and negotiation within the library community, with the publishing community, and with other groups.</w:t>
      </w:r>
    </w:p>
    <w:p w:rsidR="005F1A42" w:rsidRPr="005F1A42" w:rsidRDefault="005F1A42" w:rsidP="005F1A42">
      <w:pPr>
        <w:rPr>
          <w:rFonts w:ascii="Book Antiqua" w:hAnsi="Book Antiqua"/>
          <w:bCs/>
        </w:rPr>
      </w:pPr>
    </w:p>
    <w:p w:rsidR="005F1A42" w:rsidRPr="005F1A42" w:rsidRDefault="005F1A42" w:rsidP="005F1A42">
      <w:pPr>
        <w:spacing w:before="100" w:beforeAutospacing="1" w:after="100" w:afterAutospacing="1"/>
        <w:rPr>
          <w:rFonts w:ascii="Book Antiqua" w:hAnsi="Book Antiqua"/>
        </w:rPr>
      </w:pPr>
      <w:r w:rsidRPr="005F1A42">
        <w:rPr>
          <w:rFonts w:ascii="Book Antiqua" w:hAnsi="Book Antiqua"/>
        </w:rPr>
        <w:t>Recognizing the enormity of the scope of the Council charge, as well as current efforts underway, it is recommended that the new Task Force include representation from the existing subcommittee. As a first step in addressing the issues outlined in the Council resolution, the Task Force would</w:t>
      </w:r>
      <w:r>
        <w:rPr>
          <w:rFonts w:ascii="Book Antiqua" w:hAnsi="Book Antiqua"/>
        </w:rPr>
        <w:t>:</w:t>
      </w:r>
    </w:p>
    <w:p w:rsidR="005F1A42" w:rsidRPr="005F1A42" w:rsidRDefault="005F1A42" w:rsidP="005F1A42">
      <w:pPr>
        <w:pStyle w:val="ListParagraph"/>
        <w:numPr>
          <w:ilvl w:val="0"/>
          <w:numId w:val="6"/>
        </w:numPr>
        <w:rPr>
          <w:rFonts w:ascii="Book Antiqua" w:hAnsi="Book Antiqua"/>
        </w:rPr>
      </w:pPr>
      <w:r w:rsidRPr="005F1A42">
        <w:rPr>
          <w:rFonts w:ascii="Book Antiqua" w:hAnsi="Book Antiqua"/>
        </w:rPr>
        <w:t>identify relevant reports and projects that are completed, in-process, or planned by ALA entities</w:t>
      </w:r>
    </w:p>
    <w:p w:rsidR="005F1A42" w:rsidRPr="005F1A42" w:rsidRDefault="005F1A42" w:rsidP="005F1A42">
      <w:pPr>
        <w:pStyle w:val="ListParagraph"/>
        <w:numPr>
          <w:ilvl w:val="0"/>
          <w:numId w:val="6"/>
        </w:numPr>
        <w:rPr>
          <w:rFonts w:ascii="Book Antiqua" w:hAnsi="Book Antiqua"/>
        </w:rPr>
      </w:pPr>
      <w:r w:rsidRPr="005F1A42">
        <w:rPr>
          <w:rFonts w:ascii="Book Antiqua" w:hAnsi="Book Antiqua"/>
        </w:rPr>
        <w:t>conduct an environmental scan that includes relevant major initiatives outside of ALA</w:t>
      </w:r>
    </w:p>
    <w:p w:rsidR="00685F55" w:rsidRDefault="005F1A42" w:rsidP="005F1A42">
      <w:pPr>
        <w:pStyle w:val="ListParagraph"/>
        <w:numPr>
          <w:ilvl w:val="0"/>
          <w:numId w:val="6"/>
        </w:numPr>
        <w:rPr>
          <w:rFonts w:ascii="Book Antiqua" w:hAnsi="Book Antiqua"/>
        </w:rPr>
      </w:pPr>
      <w:r w:rsidRPr="005F1A42">
        <w:rPr>
          <w:rFonts w:ascii="Book Antiqua" w:hAnsi="Book Antiqua"/>
        </w:rPr>
        <w:t xml:space="preserve">analyze and synthesize the information collected </w:t>
      </w:r>
    </w:p>
    <w:p w:rsidR="005F1A42" w:rsidRPr="005F1A42" w:rsidRDefault="00685F55" w:rsidP="005F1A42">
      <w:pPr>
        <w:pStyle w:val="ListParagraph"/>
        <w:numPr>
          <w:ilvl w:val="0"/>
          <w:numId w:val="6"/>
        </w:numPr>
        <w:rPr>
          <w:rFonts w:ascii="Book Antiqua" w:hAnsi="Book Antiqua"/>
        </w:rPr>
      </w:pPr>
      <w:r>
        <w:rPr>
          <w:rFonts w:ascii="Book Antiqua" w:hAnsi="Book Antiqua"/>
        </w:rPr>
        <w:t>identify/</w:t>
      </w:r>
      <w:r w:rsidR="005F1A42" w:rsidRPr="005F1A42">
        <w:rPr>
          <w:rFonts w:ascii="Book Antiqua" w:hAnsi="Book Antiqua"/>
        </w:rPr>
        <w:t xml:space="preserve">develop </w:t>
      </w:r>
      <w:r>
        <w:rPr>
          <w:rFonts w:ascii="Book Antiqua" w:hAnsi="Book Antiqua"/>
        </w:rPr>
        <w:t xml:space="preserve">recommendations for action by </w:t>
      </w:r>
      <w:r w:rsidR="005F1A42" w:rsidRPr="005F1A42">
        <w:rPr>
          <w:rFonts w:ascii="Book Antiqua" w:hAnsi="Book Antiqua"/>
        </w:rPr>
        <w:t>ALA</w:t>
      </w:r>
    </w:p>
    <w:p w:rsidR="005F1A42" w:rsidRPr="005F1A42" w:rsidRDefault="005F1A42" w:rsidP="005F1A42">
      <w:pPr>
        <w:pStyle w:val="ListParagraph"/>
        <w:numPr>
          <w:ilvl w:val="0"/>
          <w:numId w:val="6"/>
        </w:numPr>
        <w:rPr>
          <w:rFonts w:ascii="Book Antiqua" w:hAnsi="Book Antiqua"/>
        </w:rPr>
      </w:pPr>
      <w:r w:rsidRPr="005F1A42">
        <w:rPr>
          <w:rFonts w:ascii="Book Antiqua" w:hAnsi="Book Antiqua"/>
        </w:rPr>
        <w:t>submit a</w:t>
      </w:r>
      <w:r w:rsidR="00685F55">
        <w:rPr>
          <w:rFonts w:ascii="Book Antiqua" w:hAnsi="Book Antiqua"/>
        </w:rPr>
        <w:t>n interim</w:t>
      </w:r>
      <w:r w:rsidRPr="005F1A42">
        <w:rPr>
          <w:rFonts w:ascii="Book Antiqua" w:hAnsi="Book Antiqua"/>
        </w:rPr>
        <w:t xml:space="preserve"> report to ALA Council at the 2011 </w:t>
      </w:r>
      <w:r w:rsidR="00685F55">
        <w:rPr>
          <w:rFonts w:ascii="Book Antiqua" w:hAnsi="Book Antiqua"/>
        </w:rPr>
        <w:t>Midwinter Meeting and a report at the 2011</w:t>
      </w:r>
      <w:r w:rsidRPr="005F1A42">
        <w:rPr>
          <w:rFonts w:ascii="Book Antiqua" w:hAnsi="Book Antiqua"/>
        </w:rPr>
        <w:t>Annual Conference</w:t>
      </w:r>
    </w:p>
    <w:p w:rsidR="005F1A42" w:rsidRPr="005F1A42" w:rsidRDefault="005F1A42" w:rsidP="005F1A42">
      <w:pPr>
        <w:rPr>
          <w:rFonts w:ascii="Book Antiqua" w:hAnsi="Book Antiqua"/>
        </w:rPr>
      </w:pPr>
    </w:p>
    <w:p w:rsidR="004D675E" w:rsidRPr="005F1A42" w:rsidRDefault="004D675E" w:rsidP="007D1400">
      <w:pPr>
        <w:spacing w:before="100" w:beforeAutospacing="1" w:after="100" w:afterAutospacing="1"/>
        <w:rPr>
          <w:rFonts w:ascii="Book Antiqua" w:hAnsi="Book Antiqua"/>
        </w:rPr>
      </w:pPr>
    </w:p>
    <w:p w:rsidR="004D675E" w:rsidRPr="007D1400" w:rsidRDefault="004D675E" w:rsidP="007D1400">
      <w:pPr>
        <w:spacing w:before="100" w:beforeAutospacing="1" w:after="100" w:afterAutospacing="1"/>
        <w:rPr>
          <w:rFonts w:ascii="Book Antiqua" w:hAnsi="Book Antiqua"/>
        </w:rPr>
      </w:pPr>
    </w:p>
    <w:p w:rsidR="007D1400" w:rsidRPr="005F1A42" w:rsidRDefault="007D1400" w:rsidP="007D1400">
      <w:pPr>
        <w:spacing w:after="200" w:line="276" w:lineRule="auto"/>
        <w:rPr>
          <w:rFonts w:ascii="Book Antiqua" w:hAnsi="Book Antiqua"/>
        </w:rPr>
      </w:pPr>
    </w:p>
    <w:p w:rsidR="0093475E" w:rsidRPr="005F1A42" w:rsidRDefault="0093475E">
      <w:pPr>
        <w:rPr>
          <w:rFonts w:ascii="Book Antiqua" w:hAnsi="Book Antiqua"/>
        </w:rPr>
      </w:pPr>
    </w:p>
    <w:sectPr w:rsidR="0093475E" w:rsidRPr="005F1A42" w:rsidSect="009347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76496"/>
    <w:multiLevelType w:val="multilevel"/>
    <w:tmpl w:val="4E14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B35CB"/>
    <w:multiLevelType w:val="hybridMultilevel"/>
    <w:tmpl w:val="C58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A1996"/>
    <w:multiLevelType w:val="hybridMultilevel"/>
    <w:tmpl w:val="8304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B3892"/>
    <w:multiLevelType w:val="hybridMultilevel"/>
    <w:tmpl w:val="004E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6320F"/>
    <w:multiLevelType w:val="multilevel"/>
    <w:tmpl w:val="9A9003C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750F20E8"/>
    <w:multiLevelType w:val="hybridMultilevel"/>
    <w:tmpl w:val="4E66084E"/>
    <w:lvl w:ilvl="0" w:tplc="0AA0DF14">
      <w:start w:val="1"/>
      <w:numFmt w:val="decimal"/>
      <w:lvlText w:val="(%1)"/>
      <w:lvlJc w:val="left"/>
      <w:pPr>
        <w:tabs>
          <w:tab w:val="num" w:pos="1800"/>
        </w:tabs>
        <w:ind w:left="1800" w:hanging="360"/>
      </w:pPr>
      <w:rPr>
        <w:rFonts w:ascii="Book Antiqua" w:eastAsia="+mn-ea" w:hAnsi="Book Antiqua" w:cs="Times New Roman"/>
      </w:rPr>
    </w:lvl>
    <w:lvl w:ilvl="1" w:tplc="AAFC34F4" w:tentative="1">
      <w:start w:val="1"/>
      <w:numFmt w:val="bullet"/>
      <w:lvlText w:val="•"/>
      <w:lvlJc w:val="left"/>
      <w:pPr>
        <w:tabs>
          <w:tab w:val="num" w:pos="2520"/>
        </w:tabs>
        <w:ind w:left="2520" w:hanging="360"/>
      </w:pPr>
      <w:rPr>
        <w:rFonts w:ascii="Times New Roman" w:hAnsi="Times New Roman" w:hint="default"/>
      </w:rPr>
    </w:lvl>
    <w:lvl w:ilvl="2" w:tplc="E62818B4" w:tentative="1">
      <w:start w:val="1"/>
      <w:numFmt w:val="bullet"/>
      <w:lvlText w:val="•"/>
      <w:lvlJc w:val="left"/>
      <w:pPr>
        <w:tabs>
          <w:tab w:val="num" w:pos="3240"/>
        </w:tabs>
        <w:ind w:left="3240" w:hanging="360"/>
      </w:pPr>
      <w:rPr>
        <w:rFonts w:ascii="Times New Roman" w:hAnsi="Times New Roman" w:hint="default"/>
      </w:rPr>
    </w:lvl>
    <w:lvl w:ilvl="3" w:tplc="32D8F854" w:tentative="1">
      <w:start w:val="1"/>
      <w:numFmt w:val="bullet"/>
      <w:lvlText w:val="•"/>
      <w:lvlJc w:val="left"/>
      <w:pPr>
        <w:tabs>
          <w:tab w:val="num" w:pos="3960"/>
        </w:tabs>
        <w:ind w:left="3960" w:hanging="360"/>
      </w:pPr>
      <w:rPr>
        <w:rFonts w:ascii="Times New Roman" w:hAnsi="Times New Roman" w:hint="default"/>
      </w:rPr>
    </w:lvl>
    <w:lvl w:ilvl="4" w:tplc="3822F8F8" w:tentative="1">
      <w:start w:val="1"/>
      <w:numFmt w:val="bullet"/>
      <w:lvlText w:val="•"/>
      <w:lvlJc w:val="left"/>
      <w:pPr>
        <w:tabs>
          <w:tab w:val="num" w:pos="4680"/>
        </w:tabs>
        <w:ind w:left="4680" w:hanging="360"/>
      </w:pPr>
      <w:rPr>
        <w:rFonts w:ascii="Times New Roman" w:hAnsi="Times New Roman" w:hint="default"/>
      </w:rPr>
    </w:lvl>
    <w:lvl w:ilvl="5" w:tplc="F43C2D0C" w:tentative="1">
      <w:start w:val="1"/>
      <w:numFmt w:val="bullet"/>
      <w:lvlText w:val="•"/>
      <w:lvlJc w:val="left"/>
      <w:pPr>
        <w:tabs>
          <w:tab w:val="num" w:pos="5400"/>
        </w:tabs>
        <w:ind w:left="5400" w:hanging="360"/>
      </w:pPr>
      <w:rPr>
        <w:rFonts w:ascii="Times New Roman" w:hAnsi="Times New Roman" w:hint="default"/>
      </w:rPr>
    </w:lvl>
    <w:lvl w:ilvl="6" w:tplc="A3EE7FE2" w:tentative="1">
      <w:start w:val="1"/>
      <w:numFmt w:val="bullet"/>
      <w:lvlText w:val="•"/>
      <w:lvlJc w:val="left"/>
      <w:pPr>
        <w:tabs>
          <w:tab w:val="num" w:pos="6120"/>
        </w:tabs>
        <w:ind w:left="6120" w:hanging="360"/>
      </w:pPr>
      <w:rPr>
        <w:rFonts w:ascii="Times New Roman" w:hAnsi="Times New Roman" w:hint="default"/>
      </w:rPr>
    </w:lvl>
    <w:lvl w:ilvl="7" w:tplc="A52C0F86" w:tentative="1">
      <w:start w:val="1"/>
      <w:numFmt w:val="bullet"/>
      <w:lvlText w:val="•"/>
      <w:lvlJc w:val="left"/>
      <w:pPr>
        <w:tabs>
          <w:tab w:val="num" w:pos="6840"/>
        </w:tabs>
        <w:ind w:left="6840" w:hanging="360"/>
      </w:pPr>
      <w:rPr>
        <w:rFonts w:ascii="Times New Roman" w:hAnsi="Times New Roman" w:hint="default"/>
      </w:rPr>
    </w:lvl>
    <w:lvl w:ilvl="8" w:tplc="062416D6" w:tentative="1">
      <w:start w:val="1"/>
      <w:numFmt w:val="bullet"/>
      <w:lvlText w:val="•"/>
      <w:lvlJc w:val="left"/>
      <w:pPr>
        <w:tabs>
          <w:tab w:val="num" w:pos="7560"/>
        </w:tabs>
        <w:ind w:left="7560" w:hanging="360"/>
      </w:pPr>
      <w:rPr>
        <w:rFonts w:ascii="Times New Roman" w:hAnsi="Times New Roman"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1400"/>
    <w:rsid w:val="00160A6E"/>
    <w:rsid w:val="0016735A"/>
    <w:rsid w:val="004D675E"/>
    <w:rsid w:val="005F1A42"/>
    <w:rsid w:val="00603450"/>
    <w:rsid w:val="00685F55"/>
    <w:rsid w:val="00721438"/>
    <w:rsid w:val="007B6341"/>
    <w:rsid w:val="007D1400"/>
    <w:rsid w:val="00843DAC"/>
    <w:rsid w:val="008F264B"/>
    <w:rsid w:val="0093475E"/>
    <w:rsid w:val="00CC14AE"/>
    <w:rsid w:val="00D852C4"/>
    <w:rsid w:val="00E0626B"/>
    <w:rsid w:val="00ED1299"/>
    <w:rsid w:val="00F1637C"/>
    <w:rsid w:val="00F66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00"/>
    <w:pPr>
      <w:spacing w:before="0" w:beforeAutospacing="0" w:after="0" w:afterAutospacing="0"/>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D14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400"/>
    <w:pPr>
      <w:ind w:left="720"/>
      <w:contextualSpacing/>
    </w:pPr>
  </w:style>
  <w:style w:type="character" w:customStyle="1" w:styleId="Heading2Char">
    <w:name w:val="Heading 2 Char"/>
    <w:basedOn w:val="DefaultParagraphFont"/>
    <w:link w:val="Heading2"/>
    <w:uiPriority w:val="9"/>
    <w:rsid w:val="007D140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D1400"/>
    <w:rPr>
      <w:color w:val="0000FF"/>
      <w:u w:val="single"/>
    </w:rPr>
  </w:style>
  <w:style w:type="character" w:styleId="Emphasis">
    <w:name w:val="Emphasis"/>
    <w:basedOn w:val="DefaultParagraphFont"/>
    <w:uiPriority w:val="20"/>
    <w:qFormat/>
    <w:rsid w:val="007D1400"/>
    <w:rPr>
      <w:i/>
      <w:iCs/>
    </w:rPr>
  </w:style>
</w:styles>
</file>

<file path=word/webSettings.xml><?xml version="1.0" encoding="utf-8"?>
<w:webSettings xmlns:r="http://schemas.openxmlformats.org/officeDocument/2006/relationships" xmlns:w="http://schemas.openxmlformats.org/wordprocessingml/2006/main">
  <w:divs>
    <w:div w:id="505171519">
      <w:bodyDiv w:val="1"/>
      <w:marLeft w:val="0"/>
      <w:marRight w:val="0"/>
      <w:marTop w:val="0"/>
      <w:marBottom w:val="0"/>
      <w:divBdr>
        <w:top w:val="none" w:sz="0" w:space="0" w:color="auto"/>
        <w:left w:val="none" w:sz="0" w:space="0" w:color="auto"/>
        <w:bottom w:val="none" w:sz="0" w:space="0" w:color="auto"/>
        <w:right w:val="none" w:sz="0" w:space="0" w:color="auto"/>
      </w:divBdr>
    </w:div>
    <w:div w:id="1702702948">
      <w:bodyDiv w:val="1"/>
      <w:marLeft w:val="0"/>
      <w:marRight w:val="0"/>
      <w:marTop w:val="0"/>
      <w:marBottom w:val="0"/>
      <w:divBdr>
        <w:top w:val="none" w:sz="0" w:space="0" w:color="auto"/>
        <w:left w:val="none" w:sz="0" w:space="0" w:color="auto"/>
        <w:bottom w:val="none" w:sz="0" w:space="0" w:color="auto"/>
        <w:right w:val="none" w:sz="0" w:space="0" w:color="auto"/>
      </w:divBdr>
      <w:divsChild>
        <w:div w:id="1298686959">
          <w:marLeft w:val="0"/>
          <w:marRight w:val="0"/>
          <w:marTop w:val="0"/>
          <w:marBottom w:val="0"/>
          <w:divBdr>
            <w:top w:val="none" w:sz="0" w:space="0" w:color="auto"/>
            <w:left w:val="none" w:sz="0" w:space="0" w:color="auto"/>
            <w:bottom w:val="none" w:sz="0" w:space="0" w:color="auto"/>
            <w:right w:val="none" w:sz="0" w:space="0" w:color="auto"/>
          </w:divBdr>
          <w:divsChild>
            <w:div w:id="515584536">
              <w:marLeft w:val="0"/>
              <w:marRight w:val="0"/>
              <w:marTop w:val="0"/>
              <w:marBottom w:val="0"/>
              <w:divBdr>
                <w:top w:val="none" w:sz="0" w:space="0" w:color="auto"/>
                <w:left w:val="none" w:sz="0" w:space="0" w:color="auto"/>
                <w:bottom w:val="none" w:sz="0" w:space="0" w:color="auto"/>
                <w:right w:val="none" w:sz="0" w:space="0" w:color="auto"/>
              </w:divBdr>
              <w:divsChild>
                <w:div w:id="1612593187">
                  <w:marLeft w:val="0"/>
                  <w:marRight w:val="0"/>
                  <w:marTop w:val="0"/>
                  <w:marBottom w:val="0"/>
                  <w:divBdr>
                    <w:top w:val="none" w:sz="0" w:space="0" w:color="auto"/>
                    <w:left w:val="none" w:sz="0" w:space="0" w:color="auto"/>
                    <w:bottom w:val="none" w:sz="0" w:space="0" w:color="auto"/>
                    <w:right w:val="none" w:sz="0" w:space="0" w:color="auto"/>
                  </w:divBdr>
                  <w:divsChild>
                    <w:div w:id="749079415">
                      <w:marLeft w:val="0"/>
                      <w:marRight w:val="0"/>
                      <w:marTop w:val="0"/>
                      <w:marBottom w:val="0"/>
                      <w:divBdr>
                        <w:top w:val="none" w:sz="0" w:space="0" w:color="auto"/>
                        <w:left w:val="none" w:sz="0" w:space="0" w:color="auto"/>
                        <w:bottom w:val="none" w:sz="0" w:space="0" w:color="auto"/>
                        <w:right w:val="none" w:sz="0" w:space="0" w:color="auto"/>
                      </w:divBdr>
                      <w:divsChild>
                        <w:div w:id="8656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ala/aboutala/offices/oif/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la/aboutala/offices/ogr/index.cfm" TargetMode="External"/><Relationship Id="rId5" Type="http://schemas.openxmlformats.org/officeDocument/2006/relationships/hyperlink" Target="http://www.ala.org/ala/aboutala/governance/council/council_documents/2010annual_council_docus/cd_44rev_equitable_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kfiels</dc:creator>
  <cp:keywords/>
  <dc:description/>
  <cp:lastModifiedBy>kfiels</cp:lastModifiedBy>
  <cp:revision>2</cp:revision>
  <cp:lastPrinted>2010-09-24T14:54:00Z</cp:lastPrinted>
  <dcterms:created xsi:type="dcterms:W3CDTF">2010-09-24T19:20:00Z</dcterms:created>
  <dcterms:modified xsi:type="dcterms:W3CDTF">2010-09-24T19:20:00Z</dcterms:modified>
</cp:coreProperties>
</file>